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7FA1" w14:textId="0F414274" w:rsidR="00CC5D78" w:rsidRPr="00E87BDD" w:rsidRDefault="0027043F" w:rsidP="00CC5D78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57CF94DA" w14:textId="09F46AF6" w:rsidR="00BD4DA1" w:rsidRPr="00E857E0" w:rsidRDefault="00BD4DA1" w:rsidP="00BD4DA1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FE705F">
        <w:rPr>
          <w:rFonts w:ascii="Times New Roman" w:hAnsi="Times New Roman" w:cs="Times New Roman" w:hint="eastAsia"/>
          <w:b/>
          <w:sz w:val="40"/>
          <w:szCs w:val="28"/>
        </w:rPr>
        <w:t>New Computing</w:t>
      </w:r>
    </w:p>
    <w:p w14:paraId="518E4F54" w14:textId="7E369A81" w:rsidR="00BD4DA1" w:rsidRPr="009735AF" w:rsidRDefault="00BD4DA1" w:rsidP="00323E80">
      <w:pPr>
        <w:snapToGrid w:val="0"/>
        <w:spacing w:after="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0C73CC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Theme: </w:t>
      </w:r>
      <w:r w:rsidR="00B2043A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Semiconductor (CMOS) Bio-</w:t>
      </w:r>
      <w:r w:rsidR="00FA357A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nterface and System</w:t>
      </w:r>
    </w:p>
    <w:p w14:paraId="5B862514" w14:textId="77777777" w:rsidR="00BD4DA1" w:rsidRPr="00CC5D78" w:rsidRDefault="00BD4DA1" w:rsidP="00BD4DA1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44948C2" w14:textId="3D2CC23E" w:rsidR="00BD4DA1" w:rsidRDefault="00BD4DA1" w:rsidP="00BD4DA1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CE248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The convergence of semiconductor and biotechnology offers a transformative pathway for future breakthroughs in health, life sciences, and intelligent bio-systems. Real-time, scalable interaction between el</w:t>
      </w:r>
      <w:bookmarkStart w:id="0" w:name="_GoBack"/>
      <w:bookmarkEnd w:id="0"/>
      <w:r w:rsidRPr="00CE248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ectronic circuits and biological entities such as biomolecules, organoids, </w:t>
      </w:r>
      <w:r w:rsidR="004C2531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or</w:t>
      </w:r>
      <w:r w:rsidRPr="00CE248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living cells is opening new possibilities in diagnostics, therapeutics, biocomputing, and beyond. At the heart of this convergence are CMOS-based bio-interfaces, which are high-density, low-noise, and biocompatible platforms capable of sensing, stimulating, and processing biological signals with unprecedented precision and scale.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Pr="00E934F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By integrating front-end biosensing and manipulation components (e.g., CMOS microelectrode arrays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, or </w:t>
      </w:r>
      <w:r w:rsidRPr="006E5A8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opto-electrical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arrays</w:t>
      </w:r>
      <w:r w:rsidRPr="00E934F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) with intelligent back-end signal processing and system-level integration, these platforms aim to unlock new functionalities across diverse biological domains.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Pr="00E934F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Future systems must overcome key challenges in biocompatibility, data fidelity, multi-modal transduction, and integration of electronic and fluidic architectures.</w:t>
      </w:r>
    </w:p>
    <w:p w14:paraId="4A7901CF" w14:textId="77777777" w:rsidR="00BD4DA1" w:rsidRPr="00E934FA" w:rsidRDefault="00BD4DA1" w:rsidP="00BD4DA1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CE248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We are particularly interested in research that explores impactful applications, including but not limited to the examples below, and addresses the core enabling technologies necessary to realize them:</w:t>
      </w:r>
    </w:p>
    <w:p w14:paraId="1F47390B" w14:textId="7FFE9E59" w:rsidR="00BD4DA1" w:rsidRPr="00CB315E" w:rsidRDefault="00BD4DA1" w:rsidP="00BD4DA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 w:rsidRPr="00CB315E">
        <w:rPr>
          <w:rFonts w:ascii="Times New Roman" w:hAnsi="Times New Roman" w:cs="Times New Roman"/>
          <w:sz w:val="28"/>
          <w:szCs w:val="28"/>
        </w:rPr>
        <w:t>Integrated bioelectronic platforms for drug discovery, high-throughput screening, real-time cellular monitoring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4F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and </w:t>
      </w:r>
      <w:r w:rsidR="005C13D5" w:rsidRPr="005C13D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programmable</w:t>
      </w:r>
      <w:r w:rsidR="005C13D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Pr="00E934F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synthetic biology platforms</w:t>
      </w:r>
    </w:p>
    <w:p w14:paraId="6EA80F07" w14:textId="77777777" w:rsidR="005C13D5" w:rsidRPr="005C13D5" w:rsidRDefault="005C13D5" w:rsidP="005C13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 w:rsidRPr="005C13D5">
        <w:rPr>
          <w:rFonts w:ascii="Times New Roman" w:hAnsi="Times New Roman" w:cs="Times New Roman"/>
          <w:sz w:val="28"/>
          <w:szCs w:val="28"/>
        </w:rPr>
        <w:t>Biosensing and molecular diagnostic systems with high sensitivity, specificity, and biocompatibility</w:t>
      </w:r>
    </w:p>
    <w:p w14:paraId="40557076" w14:textId="5FC9F31C" w:rsidR="005C13D5" w:rsidRPr="005C13D5" w:rsidRDefault="005C13D5" w:rsidP="005C13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 w:rsidRPr="005C13D5">
        <w:rPr>
          <w:rFonts w:ascii="Times New Roman" w:hAnsi="Times New Roman" w:cs="Times New Roman"/>
          <w:sz w:val="28"/>
          <w:szCs w:val="28"/>
        </w:rPr>
        <w:t>Organoid-on-chip and organ-on-chip systems with feedback control for modeling and regulating complex physiological functions</w:t>
      </w:r>
    </w:p>
    <w:p w14:paraId="28C82E85" w14:textId="346211C1" w:rsidR="005C13D5" w:rsidRPr="005C13D5" w:rsidRDefault="005C13D5" w:rsidP="005C13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 w:rsidRPr="005C13D5">
        <w:rPr>
          <w:rFonts w:ascii="Times New Roman" w:hAnsi="Times New Roman" w:cs="Times New Roman"/>
          <w:sz w:val="28"/>
          <w:szCs w:val="28"/>
        </w:rPr>
        <w:t>Neural and brain-computer interfaces enabling stable, high-resolution recording and stimulation</w:t>
      </w:r>
    </w:p>
    <w:p w14:paraId="22AD5B04" w14:textId="24768CEB" w:rsidR="005C13D5" w:rsidRPr="005C13D5" w:rsidRDefault="005C13D5" w:rsidP="005C13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 w:rsidRPr="005C13D5">
        <w:rPr>
          <w:rFonts w:ascii="Times New Roman" w:hAnsi="Times New Roman" w:cs="Times New Roman"/>
          <w:sz w:val="28"/>
          <w:szCs w:val="28"/>
        </w:rPr>
        <w:t>Biocomputing platforms and molecular processing systems that perform logic operations, memory storage, and adaptive control within biological environments</w:t>
      </w:r>
    </w:p>
    <w:p w14:paraId="37D0AEA9" w14:textId="55623549" w:rsidR="002C6463" w:rsidRPr="002C6463" w:rsidRDefault="005C13D5" w:rsidP="005C13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 w:rsidRPr="005C13D5">
        <w:rPr>
          <w:rFonts w:ascii="Times New Roman" w:hAnsi="Times New Roman" w:cs="Times New Roman"/>
          <w:sz w:val="28"/>
          <w:szCs w:val="28"/>
        </w:rPr>
        <w:lastRenderedPageBreak/>
        <w:t xml:space="preserve">Core enabling technologies including high-density CMOS bio-interfaces, multimodal sensing and stimulation, long-term biocompatible materials, integrated bio-sensing and </w:t>
      </w:r>
      <w:r>
        <w:rPr>
          <w:rFonts w:ascii="Times New Roman" w:hAnsi="Times New Roman" w:cs="Times New Roman"/>
          <w:sz w:val="28"/>
          <w:szCs w:val="28"/>
        </w:rPr>
        <w:t>control</w:t>
      </w:r>
      <w:r w:rsidRPr="005C13D5">
        <w:rPr>
          <w:rFonts w:ascii="Times New Roman" w:hAnsi="Times New Roman" w:cs="Times New Roman"/>
          <w:sz w:val="28"/>
          <w:szCs w:val="28"/>
        </w:rPr>
        <w:t xml:space="preserve"> layers, and molecular interaction mechanisms at the bio-electronic interface</w:t>
      </w:r>
    </w:p>
    <w:p w14:paraId="2CB9615D" w14:textId="77777777" w:rsidR="009735AF" w:rsidRPr="00CC5D78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9655" w14:textId="77777777" w:rsidR="00E0105F" w:rsidRDefault="00E0105F" w:rsidP="00692FEF">
      <w:pPr>
        <w:spacing w:after="0" w:line="240" w:lineRule="auto"/>
      </w:pPr>
      <w:r>
        <w:separator/>
      </w:r>
    </w:p>
  </w:endnote>
  <w:endnote w:type="continuationSeparator" w:id="0">
    <w:p w14:paraId="702ADA3B" w14:textId="77777777" w:rsidR="00E0105F" w:rsidRDefault="00E0105F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1686F9DC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6C5B16" w:rsidRPr="006C5B16">
          <w:rPr>
            <w:noProof/>
            <w:sz w:val="24"/>
            <w:szCs w:val="24"/>
            <w:lang w:val="ko-KR"/>
          </w:rPr>
          <w:t>2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05D9" w14:textId="77777777" w:rsidR="00E0105F" w:rsidRDefault="00E0105F" w:rsidP="00692FEF">
      <w:pPr>
        <w:spacing w:after="0" w:line="240" w:lineRule="auto"/>
      </w:pPr>
      <w:r>
        <w:separator/>
      </w:r>
    </w:p>
  </w:footnote>
  <w:footnote w:type="continuationSeparator" w:id="0">
    <w:p w14:paraId="788F64BE" w14:textId="77777777" w:rsidR="00E0105F" w:rsidRDefault="00E0105F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808"/>
    <w:multiLevelType w:val="hybridMultilevel"/>
    <w:tmpl w:val="177A1B78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5A3E3DF2"/>
    <w:multiLevelType w:val="hybridMultilevel"/>
    <w:tmpl w:val="C54C823E"/>
    <w:lvl w:ilvl="0" w:tplc="CA780D68">
      <w:numFmt w:val="bullet"/>
      <w:lvlText w:val="•"/>
      <w:lvlJc w:val="left"/>
      <w:pPr>
        <w:ind w:left="72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75FF13DD"/>
    <w:multiLevelType w:val="hybridMultilevel"/>
    <w:tmpl w:val="536A7F9E"/>
    <w:lvl w:ilvl="0" w:tplc="CA780D68">
      <w:numFmt w:val="bullet"/>
      <w:lvlText w:val="•"/>
      <w:lvlJc w:val="left"/>
      <w:pPr>
        <w:ind w:left="72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8365D"/>
    <w:rsid w:val="00090FE0"/>
    <w:rsid w:val="000B1FF4"/>
    <w:rsid w:val="000C1EB2"/>
    <w:rsid w:val="000C73CC"/>
    <w:rsid w:val="000E022D"/>
    <w:rsid w:val="000F6CF6"/>
    <w:rsid w:val="000F77B9"/>
    <w:rsid w:val="0010003E"/>
    <w:rsid w:val="001607DD"/>
    <w:rsid w:val="00172884"/>
    <w:rsid w:val="001F04C3"/>
    <w:rsid w:val="001F1830"/>
    <w:rsid w:val="0021509B"/>
    <w:rsid w:val="00261BEA"/>
    <w:rsid w:val="0027043F"/>
    <w:rsid w:val="002A401D"/>
    <w:rsid w:val="002A6E8C"/>
    <w:rsid w:val="002C6463"/>
    <w:rsid w:val="002D72E0"/>
    <w:rsid w:val="00323E80"/>
    <w:rsid w:val="00327C3B"/>
    <w:rsid w:val="00337B2A"/>
    <w:rsid w:val="00372B89"/>
    <w:rsid w:val="003764A9"/>
    <w:rsid w:val="00387922"/>
    <w:rsid w:val="00415235"/>
    <w:rsid w:val="00487B54"/>
    <w:rsid w:val="004A47AF"/>
    <w:rsid w:val="004B21D5"/>
    <w:rsid w:val="004C2531"/>
    <w:rsid w:val="004E5174"/>
    <w:rsid w:val="004E569A"/>
    <w:rsid w:val="004F175D"/>
    <w:rsid w:val="004F3309"/>
    <w:rsid w:val="005340F3"/>
    <w:rsid w:val="005C13D5"/>
    <w:rsid w:val="005C4168"/>
    <w:rsid w:val="0060463D"/>
    <w:rsid w:val="00623C9D"/>
    <w:rsid w:val="00667699"/>
    <w:rsid w:val="0068060A"/>
    <w:rsid w:val="00692FEF"/>
    <w:rsid w:val="00697F0A"/>
    <w:rsid w:val="006B3407"/>
    <w:rsid w:val="006C5B16"/>
    <w:rsid w:val="006E3F9C"/>
    <w:rsid w:val="006E5A8F"/>
    <w:rsid w:val="007217A5"/>
    <w:rsid w:val="007762D3"/>
    <w:rsid w:val="007C4CB4"/>
    <w:rsid w:val="00811AE1"/>
    <w:rsid w:val="009305D6"/>
    <w:rsid w:val="009333E3"/>
    <w:rsid w:val="009565C6"/>
    <w:rsid w:val="009735AF"/>
    <w:rsid w:val="009A7FD3"/>
    <w:rsid w:val="00A21216"/>
    <w:rsid w:val="00A2534F"/>
    <w:rsid w:val="00A45661"/>
    <w:rsid w:val="00A526DD"/>
    <w:rsid w:val="00A649F8"/>
    <w:rsid w:val="00AB6A68"/>
    <w:rsid w:val="00B14A14"/>
    <w:rsid w:val="00B2043A"/>
    <w:rsid w:val="00B545C8"/>
    <w:rsid w:val="00B60F34"/>
    <w:rsid w:val="00B62ABF"/>
    <w:rsid w:val="00BD1435"/>
    <w:rsid w:val="00BD4DA1"/>
    <w:rsid w:val="00BE336F"/>
    <w:rsid w:val="00C036D6"/>
    <w:rsid w:val="00C13814"/>
    <w:rsid w:val="00C50E7B"/>
    <w:rsid w:val="00C91C76"/>
    <w:rsid w:val="00CA283D"/>
    <w:rsid w:val="00CB315E"/>
    <w:rsid w:val="00CC5D78"/>
    <w:rsid w:val="00CE4616"/>
    <w:rsid w:val="00CF205D"/>
    <w:rsid w:val="00D34025"/>
    <w:rsid w:val="00DC5995"/>
    <w:rsid w:val="00DC6C78"/>
    <w:rsid w:val="00E0105F"/>
    <w:rsid w:val="00E857E0"/>
    <w:rsid w:val="00E92E33"/>
    <w:rsid w:val="00E934FA"/>
    <w:rsid w:val="00EA344E"/>
    <w:rsid w:val="00ED0293"/>
    <w:rsid w:val="00ED77EC"/>
    <w:rsid w:val="00F00164"/>
    <w:rsid w:val="00F57C50"/>
    <w:rsid w:val="00F63320"/>
    <w:rsid w:val="00F648E9"/>
    <w:rsid w:val="00F71338"/>
    <w:rsid w:val="00FA11BC"/>
    <w:rsid w:val="00FA357A"/>
    <w:rsid w:val="00FE705F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20</cp:revision>
  <dcterms:created xsi:type="dcterms:W3CDTF">2025-06-15T23:39:00Z</dcterms:created>
  <dcterms:modified xsi:type="dcterms:W3CDTF">2025-06-18T09:09:00Z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