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7FA1" w14:textId="0F414274" w:rsidR="00CC5D78" w:rsidRPr="00E87BDD" w:rsidRDefault="0027043F" w:rsidP="00CC5D78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</w:t>
      </w:r>
      <w:r>
        <w:rPr>
          <w:rFonts w:ascii="Calibri" w:eastAsiaTheme="minorEastAsia" w:hAnsi="Calibri" w:cs="Calibri" w:hint="eastAsia"/>
          <w:b/>
          <w:color w:val="595959" w:themeColor="text1" w:themeTint="A6"/>
          <w:kern w:val="0"/>
          <w:sz w:val="28"/>
          <w:szCs w:val="28"/>
        </w:rPr>
        <w:t>s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earch Outreach_202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5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_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</w:t>
      </w:r>
      <w:r w:rsidR="00CC5D78"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roposal</w:t>
      </w:r>
    </w:p>
    <w:p w14:paraId="3CB30F3E" w14:textId="239347DF" w:rsidR="00E857E0" w:rsidRPr="00E857E0" w:rsidRDefault="00E857E0" w:rsidP="00E857E0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E857E0">
        <w:rPr>
          <w:rFonts w:ascii="Times New Roman" w:hAnsi="Times New Roman" w:cs="Times New Roman"/>
          <w:b/>
          <w:sz w:val="40"/>
          <w:szCs w:val="28"/>
        </w:rPr>
        <w:t xml:space="preserve">Theme: </w:t>
      </w:r>
      <w:r w:rsidR="00180F7C">
        <w:rPr>
          <w:rFonts w:ascii="Times New Roman" w:hAnsi="Times New Roman" w:cs="Times New Roman"/>
          <w:b/>
          <w:sz w:val="40"/>
          <w:szCs w:val="28"/>
        </w:rPr>
        <w:t xml:space="preserve">New Computing </w:t>
      </w:r>
    </w:p>
    <w:p w14:paraId="3C5C8980" w14:textId="672C2285" w:rsidR="00E857E0" w:rsidRPr="009735AF" w:rsidRDefault="00CC5D78" w:rsidP="00E6579A">
      <w:pPr>
        <w:snapToGrid w:val="0"/>
        <w:spacing w:after="0" w:line="360" w:lineRule="auto"/>
        <w:ind w:firstLineChars="100" w:firstLine="300"/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 Sub</w:t>
      </w:r>
      <w:r w:rsidR="001A38CB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Theme:</w:t>
      </w:r>
      <w:r w:rsidR="00E857E0"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</w:t>
      </w:r>
      <w:r w:rsidR="00DF7C2C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Memory-</w:t>
      </w:r>
      <w:r w:rsidR="00E6579A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0"/>
          <w:szCs w:val="30"/>
        </w:rPr>
        <w:t>C</w:t>
      </w:r>
      <w:bookmarkStart w:id="0" w:name="_GoBack"/>
      <w:bookmarkEnd w:id="0"/>
      <w:r w:rsidR="00180F7C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entric </w:t>
      </w:r>
      <w:r w:rsidR="00613B43" w:rsidRPr="00613B43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Autonomous</w:t>
      </w:r>
      <w:r w:rsidR="00613B43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</w:t>
      </w:r>
      <w:r w:rsidR="00180F7C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Agent Computing </w:t>
      </w:r>
    </w:p>
    <w:p w14:paraId="4513D462" w14:textId="77777777" w:rsidR="00E857E0" w:rsidRPr="00CC5D78" w:rsidRDefault="00E857E0" w:rsidP="00E857E0">
      <w:pPr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5474246" w14:textId="77777777" w:rsidR="003240F2" w:rsidRDefault="00180F7C" w:rsidP="003240F2">
      <w:pPr>
        <w:autoSpaceDE w:val="0"/>
        <w:autoSpaceDN w:val="0"/>
        <w:adjustRightInd w:val="0"/>
        <w:spacing w:after="0" w:line="312" w:lineRule="auto"/>
        <w:ind w:firstLine="30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A</w:t>
      </w:r>
      <w:r w:rsidRPr="00180F7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utonomous agents such as mobile robots, drones, and wearable systems must perceive, adapt, and act in real-world environments with limited connectivity to centralized infrastructure. This shift from cloud-assisted to autonomous cognition demands a new computing paradigm where memory is not just a passive store, but an active substrate for reasoning and learning. </w:t>
      </w:r>
      <w:r w:rsidR="00613B43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A</w:t>
      </w:r>
      <w:r w:rsidR="00613B43" w:rsidRPr="00180F7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utonomous agent </w:t>
      </w:r>
      <w:r w:rsidRPr="00180F7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systems must process incoming signals in context, store meaningful experiences, and reuse them for behavior modulation—all while operating under tight energy and memory constraints.</w:t>
      </w:r>
      <w:r w:rsidR="00A22B8D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</w:p>
    <w:p w14:paraId="16038E71" w14:textId="77777777" w:rsidR="003240F2" w:rsidRDefault="00180F7C" w:rsidP="003240F2">
      <w:pPr>
        <w:autoSpaceDE w:val="0"/>
        <w:autoSpaceDN w:val="0"/>
        <w:adjustRightInd w:val="0"/>
        <w:spacing w:after="0" w:line="312" w:lineRule="auto"/>
        <w:ind w:firstLine="30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180F7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To this end, we seek innovations that span the algorithm–architecture–device stack, enabling agents to represent and evolve their own memory in a scalable, low-power, and semantically meaningful way</w:t>
      </w:r>
      <w:r w:rsidR="00C84BDF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. </w:t>
      </w:r>
      <w:r w:rsidR="00A72E23" w:rsidRPr="00A72E23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Of particular interest are techniques that enable agents to organize, adapt, and reason over episodic memory under physical constraints. This includes computational frameworks for managing context-aware memory, algorithms that semantically fuse redundant interaction history, and mechanisms for autonomously evolving abstract concepts from concrete experiences.</w:t>
      </w:r>
      <w:r w:rsidR="00A72E23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</w:p>
    <w:p w14:paraId="2DF28C42" w14:textId="09C642F6" w:rsidR="009735AF" w:rsidRPr="00180F7C" w:rsidRDefault="001A4955" w:rsidP="003240F2">
      <w:pPr>
        <w:autoSpaceDE w:val="0"/>
        <w:autoSpaceDN w:val="0"/>
        <w:adjustRightInd w:val="0"/>
        <w:spacing w:after="0" w:line="312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95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We also welcome research on low-power hybrid memory systems, device-level innovations for in-memory learning, and Monolithic 3D integration technologies that support these capabilities physically and architecturally—enabling compact, efficient memory-centric processing in </w:t>
      </w:r>
      <w:r w:rsidR="00613B43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a</w:t>
      </w:r>
      <w:r w:rsidR="00613B43" w:rsidRPr="00180F7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utonomous agent </w:t>
      </w:r>
      <w:r w:rsidRPr="001A495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systems.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</w:t>
      </w:r>
      <w:r w:rsidR="00180F7C" w:rsidRPr="00180F7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We are mostly interested in fundamental research that solves problems arising in the above areas, such as but not limited to:</w:t>
      </w:r>
    </w:p>
    <w:p w14:paraId="1F4DC891" w14:textId="5C84D16E" w:rsidR="00B62ABF" w:rsidRDefault="00F025B8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B8">
        <w:rPr>
          <w:rFonts w:ascii="Times New Roman" w:hAnsi="Times New Roman" w:cs="Times New Roman"/>
          <w:sz w:val="28"/>
          <w:szCs w:val="28"/>
        </w:rPr>
        <w:t>Computational frameworks for representing and managing episodic and context-aware memory in resource-constrained, mobile agents</w:t>
      </w:r>
    </w:p>
    <w:p w14:paraId="5C4F947C" w14:textId="6EACD7BE" w:rsidR="00F025B8" w:rsidRDefault="00F025B8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B8">
        <w:rPr>
          <w:rFonts w:ascii="Times New Roman" w:hAnsi="Times New Roman" w:cs="Times New Roman"/>
          <w:sz w:val="28"/>
          <w:szCs w:val="28"/>
        </w:rPr>
        <w:t xml:space="preserve">Algorithms that fuse overlapping or redundant episodic memories into compact semantic representations, supporting adaptive memory evolution </w:t>
      </w:r>
    </w:p>
    <w:p w14:paraId="6CAA1C08" w14:textId="5EE8CE6B" w:rsidR="00180F7C" w:rsidRDefault="00180F7C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F7C">
        <w:rPr>
          <w:rFonts w:ascii="Times New Roman" w:hAnsi="Times New Roman" w:cs="Times New Roman"/>
          <w:sz w:val="28"/>
          <w:szCs w:val="28"/>
        </w:rPr>
        <w:t xml:space="preserve">Low-power heterogeneous memory architectures that combine diverse memory technologies (e.g., SRAM, DRAM, NVRAM) to support memory-centric reasoning and efficient spatio-temporal data access in </w:t>
      </w:r>
      <w:r w:rsidR="00CC1529">
        <w:rPr>
          <w:rFonts w:ascii="Times New Roman" w:hAnsi="Times New Roman" w:cs="Times New Roman"/>
          <w:sz w:val="28"/>
          <w:szCs w:val="28"/>
        </w:rPr>
        <w:t>a</w:t>
      </w:r>
      <w:r w:rsidR="00CC1529" w:rsidRPr="00180F7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utonomous agent </w:t>
      </w:r>
      <w:r w:rsidRPr="00180F7C">
        <w:rPr>
          <w:rFonts w:ascii="Times New Roman" w:hAnsi="Times New Roman" w:cs="Times New Roman"/>
          <w:sz w:val="28"/>
          <w:szCs w:val="28"/>
        </w:rPr>
        <w:t>systems</w:t>
      </w:r>
    </w:p>
    <w:p w14:paraId="54C8A0C8" w14:textId="1B7802CB" w:rsidR="00180F7C" w:rsidRDefault="00180F7C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F7C">
        <w:rPr>
          <w:rFonts w:ascii="Times New Roman" w:hAnsi="Times New Roman" w:cs="Times New Roman"/>
          <w:sz w:val="28"/>
          <w:szCs w:val="28"/>
        </w:rPr>
        <w:lastRenderedPageBreak/>
        <w:t>Device innovations for in-memory learning and persistent storage</w:t>
      </w:r>
    </w:p>
    <w:p w14:paraId="6EBDDAA3" w14:textId="5C24D459" w:rsidR="00180F7C" w:rsidRDefault="00A22B8D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B8D">
        <w:rPr>
          <w:rFonts w:ascii="Times New Roman" w:hAnsi="Times New Roman" w:cs="Times New Roman"/>
          <w:sz w:val="28"/>
          <w:szCs w:val="28"/>
        </w:rPr>
        <w:t>Cross-layer co-design of memory, compute, and sensing using Monolithic 3D integration (e.g., MIVs, thermal-aware design, vertical memory-logic stacking, heterogeneous NVM-on-logic, 3D vs. planar benchmarking)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9615D" w14:textId="77777777" w:rsidR="009735AF" w:rsidRPr="00CC5D78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4CFFCBA0" w14:textId="77777777" w:rsidR="00E857E0" w:rsidRPr="00CC5D78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topics are not limited to the above examples and the participants are   </w:t>
      </w:r>
    </w:p>
    <w:p w14:paraId="0C339D4F" w14:textId="77777777" w:rsidR="00E857E0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  encouraged to propose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original idea.</w:t>
      </w:r>
    </w:p>
    <w:p w14:paraId="42F1E710" w14:textId="77777777" w:rsidR="009735AF" w:rsidRPr="009735AF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33268D8E" w14:textId="77777777" w:rsidR="00372C9C" w:rsidRPr="00E857E0" w:rsidRDefault="00E857E0" w:rsidP="00CC5D78">
      <w:pPr>
        <w:spacing w:after="0" w:line="278" w:lineRule="auto"/>
        <w:jc w:val="both"/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Funding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: Up to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USD 150,000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per year</w:t>
      </w:r>
    </w:p>
    <w:sectPr w:rsidR="00372C9C" w:rsidRPr="00E857E0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74B0" w14:textId="77777777" w:rsidR="001464B2" w:rsidRDefault="001464B2" w:rsidP="00692FEF">
      <w:pPr>
        <w:spacing w:after="0" w:line="240" w:lineRule="auto"/>
      </w:pPr>
      <w:r>
        <w:separator/>
      </w:r>
    </w:p>
  </w:endnote>
  <w:endnote w:type="continuationSeparator" w:id="0">
    <w:p w14:paraId="7808D47B" w14:textId="77777777" w:rsidR="001464B2" w:rsidRDefault="001464B2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280D0F" w14:textId="4C275D0E"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E6579A" w:rsidRPr="00E6579A">
          <w:rPr>
            <w:noProof/>
            <w:sz w:val="24"/>
            <w:szCs w:val="24"/>
            <w:lang w:val="ko-KR"/>
          </w:rPr>
          <w:t>1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BF012" w14:textId="77777777" w:rsidR="001464B2" w:rsidRDefault="001464B2" w:rsidP="00692FEF">
      <w:pPr>
        <w:spacing w:after="0" w:line="240" w:lineRule="auto"/>
      </w:pPr>
      <w:r>
        <w:separator/>
      </w:r>
    </w:p>
  </w:footnote>
  <w:footnote w:type="continuationSeparator" w:id="0">
    <w:p w14:paraId="5AFD637D" w14:textId="77777777" w:rsidR="001464B2" w:rsidRDefault="001464B2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1FE" w14:textId="77777777"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3796089F" wp14:editId="11D58DF6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3234"/>
    <w:multiLevelType w:val="hybridMultilevel"/>
    <w:tmpl w:val="4858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4BFF"/>
    <w:multiLevelType w:val="hybridMultilevel"/>
    <w:tmpl w:val="57A4BF52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668A2"/>
    <w:multiLevelType w:val="hybridMultilevel"/>
    <w:tmpl w:val="D68C35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8365D"/>
    <w:rsid w:val="00090FE0"/>
    <w:rsid w:val="000B1FF4"/>
    <w:rsid w:val="000C1EB2"/>
    <w:rsid w:val="000E022D"/>
    <w:rsid w:val="000E4FEA"/>
    <w:rsid w:val="000F6CF6"/>
    <w:rsid w:val="000F77B9"/>
    <w:rsid w:val="0010003E"/>
    <w:rsid w:val="001464B2"/>
    <w:rsid w:val="001607DD"/>
    <w:rsid w:val="00172884"/>
    <w:rsid w:val="00180F7C"/>
    <w:rsid w:val="001A38CB"/>
    <w:rsid w:val="001A4955"/>
    <w:rsid w:val="001F04C3"/>
    <w:rsid w:val="0021509B"/>
    <w:rsid w:val="00261BEA"/>
    <w:rsid w:val="0027043F"/>
    <w:rsid w:val="002A401D"/>
    <w:rsid w:val="002A6E8C"/>
    <w:rsid w:val="002D72E0"/>
    <w:rsid w:val="003240F2"/>
    <w:rsid w:val="00337B2A"/>
    <w:rsid w:val="003764A9"/>
    <w:rsid w:val="00387922"/>
    <w:rsid w:val="004A47AF"/>
    <w:rsid w:val="004E5174"/>
    <w:rsid w:val="004F175D"/>
    <w:rsid w:val="004F3309"/>
    <w:rsid w:val="005340F3"/>
    <w:rsid w:val="005C4168"/>
    <w:rsid w:val="0060463D"/>
    <w:rsid w:val="00613B43"/>
    <w:rsid w:val="00654B44"/>
    <w:rsid w:val="00692FEF"/>
    <w:rsid w:val="006E3F9C"/>
    <w:rsid w:val="007217A5"/>
    <w:rsid w:val="007762D3"/>
    <w:rsid w:val="00811AE1"/>
    <w:rsid w:val="009305D6"/>
    <w:rsid w:val="009333E3"/>
    <w:rsid w:val="00934D26"/>
    <w:rsid w:val="009565C6"/>
    <w:rsid w:val="00960917"/>
    <w:rsid w:val="009735AF"/>
    <w:rsid w:val="009A7FD3"/>
    <w:rsid w:val="00A22B8D"/>
    <w:rsid w:val="00A2534F"/>
    <w:rsid w:val="00A526DD"/>
    <w:rsid w:val="00A649F8"/>
    <w:rsid w:val="00A72E23"/>
    <w:rsid w:val="00AB6A68"/>
    <w:rsid w:val="00B14A14"/>
    <w:rsid w:val="00B60F34"/>
    <w:rsid w:val="00B62ABF"/>
    <w:rsid w:val="00BD1435"/>
    <w:rsid w:val="00BE336F"/>
    <w:rsid w:val="00C036D6"/>
    <w:rsid w:val="00C13814"/>
    <w:rsid w:val="00C84BDF"/>
    <w:rsid w:val="00C91C76"/>
    <w:rsid w:val="00CA283D"/>
    <w:rsid w:val="00CC1529"/>
    <w:rsid w:val="00CC5D78"/>
    <w:rsid w:val="00CF205D"/>
    <w:rsid w:val="00D40CDC"/>
    <w:rsid w:val="00D54344"/>
    <w:rsid w:val="00D60DEB"/>
    <w:rsid w:val="00DC6C78"/>
    <w:rsid w:val="00DD3D35"/>
    <w:rsid w:val="00DE56CD"/>
    <w:rsid w:val="00DF7C2C"/>
    <w:rsid w:val="00E6579A"/>
    <w:rsid w:val="00E857E0"/>
    <w:rsid w:val="00ED0293"/>
    <w:rsid w:val="00ED77EC"/>
    <w:rsid w:val="00EF0BD5"/>
    <w:rsid w:val="00F025B8"/>
    <w:rsid w:val="00F57C50"/>
    <w:rsid w:val="00F63320"/>
    <w:rsid w:val="00F648E9"/>
    <w:rsid w:val="00F71338"/>
    <w:rsid w:val="00FA11BC"/>
    <w:rsid w:val="00FE769B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3F1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유지수/Open Innovation그룹(SAIT)/삼성전자</cp:lastModifiedBy>
  <cp:revision>10</cp:revision>
  <dcterms:created xsi:type="dcterms:W3CDTF">2025-06-13T07:07:00Z</dcterms:created>
  <dcterms:modified xsi:type="dcterms:W3CDTF">2025-06-17T11:57:00Z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